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90" w:type="dxa"/>
        <w:tblLayout w:type="fixed"/>
        <w:tblCellMar>
          <w:left w:w="115" w:type="dxa"/>
          <w:right w:w="115" w:type="dxa"/>
        </w:tblCellMar>
        <w:tblLook w:val="01E0" w:firstRow="1" w:lastRow="1" w:firstColumn="1" w:lastColumn="1" w:noHBand="0" w:noVBand="0"/>
      </w:tblPr>
      <w:tblGrid>
        <w:gridCol w:w="10620"/>
      </w:tblGrid>
      <w:tr w:rsidR="006C49EF" w:rsidRPr="00D861F6" w14:paraId="7B3CB438" w14:textId="77777777" w:rsidTr="00F93391">
        <w:trPr>
          <w:trHeight w:val="11331"/>
        </w:trPr>
        <w:tc>
          <w:tcPr>
            <w:tcW w:w="10620" w:type="dxa"/>
            <w:tcBorders>
              <w:bottom w:val="single" w:sz="12" w:space="0" w:color="auto"/>
            </w:tcBorders>
          </w:tcPr>
          <w:p w14:paraId="6D5E5CF3" w14:textId="77777777" w:rsidR="00573349" w:rsidRPr="00D861F6" w:rsidRDefault="00573349" w:rsidP="00573349">
            <w:pPr>
              <w:jc w:val="center"/>
              <w:rPr>
                <w:b/>
                <w:sz w:val="20"/>
              </w:rPr>
            </w:pPr>
            <w:r w:rsidRPr="00D861F6">
              <w:rPr>
                <w:b/>
                <w:noProof/>
                <w:sz w:val="20"/>
              </w:rPr>
              <w:drawing>
                <wp:inline distT="0" distB="0" distL="0" distR="0" wp14:anchorId="2ED218FE" wp14:editId="4D159539">
                  <wp:extent cx="609600" cy="530522"/>
                  <wp:effectExtent l="0" t="0" r="0"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103" cy="537052"/>
                          </a:xfrm>
                          <a:prstGeom prst="rect">
                            <a:avLst/>
                          </a:prstGeom>
                          <a:noFill/>
                          <a:ln>
                            <a:noFill/>
                          </a:ln>
                        </pic:spPr>
                      </pic:pic>
                    </a:graphicData>
                  </a:graphic>
                </wp:inline>
              </w:drawing>
            </w:r>
          </w:p>
          <w:p w14:paraId="5820B536" w14:textId="77777777" w:rsidR="00573349" w:rsidRPr="00D861F6" w:rsidRDefault="00573349" w:rsidP="00573349">
            <w:pPr>
              <w:jc w:val="center"/>
              <w:rPr>
                <w:sz w:val="20"/>
                <w:szCs w:val="20"/>
              </w:rPr>
            </w:pPr>
            <w:r w:rsidRPr="00D861F6">
              <w:rPr>
                <w:sz w:val="20"/>
                <w:szCs w:val="20"/>
              </w:rPr>
              <w:t>STATE OF WASHINGTON</w:t>
            </w:r>
          </w:p>
          <w:p w14:paraId="79D4B7D9" w14:textId="77777777" w:rsidR="00573349" w:rsidRPr="00D861F6" w:rsidRDefault="00573349" w:rsidP="00573349">
            <w:pPr>
              <w:jc w:val="center"/>
              <w:rPr>
                <w:rFonts w:ascii="Lucida Sans" w:hAnsi="Lucida Sans" w:cs="Tahoma"/>
                <w:sz w:val="26"/>
                <w:szCs w:val="26"/>
              </w:rPr>
            </w:pPr>
            <w:r w:rsidRPr="00D861F6">
              <w:rPr>
                <w:rFonts w:ascii="Lucida Sans" w:hAnsi="Lucida Sans" w:cs="Tahoma"/>
                <w:sz w:val="26"/>
                <w:szCs w:val="26"/>
              </w:rPr>
              <w:t>DEPARTMENT OF SOCIAL AND HEALTH SERVICES</w:t>
            </w:r>
          </w:p>
          <w:p w14:paraId="709DFADD" w14:textId="77777777" w:rsidR="00573349" w:rsidRPr="002A5F6C" w:rsidRDefault="00573349" w:rsidP="00573349">
            <w:pPr>
              <w:jc w:val="center"/>
              <w:rPr>
                <w:rFonts w:ascii="Arial" w:hAnsi="Arial" w:cs="Arial"/>
                <w:iCs/>
                <w:sz w:val="20"/>
                <w:szCs w:val="20"/>
              </w:rPr>
            </w:pPr>
            <w:r w:rsidRPr="002A5F6C">
              <w:rPr>
                <w:rFonts w:ascii="Arial" w:hAnsi="Arial" w:cs="Arial"/>
                <w:iCs/>
                <w:sz w:val="20"/>
                <w:szCs w:val="20"/>
              </w:rPr>
              <w:t>Developmental Disabilities Administration (DDA)</w:t>
            </w:r>
          </w:p>
          <w:p w14:paraId="77ADD403" w14:textId="77777777" w:rsidR="00573349" w:rsidRDefault="00573349" w:rsidP="00573349">
            <w:pPr>
              <w:spacing w:before="120"/>
              <w:jc w:val="center"/>
              <w:rPr>
                <w:rFonts w:ascii="Arial" w:hAnsi="Arial" w:cs="Arial"/>
                <w:b/>
                <w:sz w:val="28"/>
                <w:szCs w:val="28"/>
              </w:rPr>
            </w:pPr>
            <w:r>
              <w:rPr>
                <w:rFonts w:ascii="Arial" w:hAnsi="Arial" w:cs="Arial"/>
                <w:b/>
                <w:sz w:val="28"/>
                <w:szCs w:val="28"/>
              </w:rPr>
              <w:t>Subleased Housing Memorandum of Understanding</w:t>
            </w:r>
            <w:r>
              <w:rPr>
                <w:rFonts w:ascii="Arial" w:hAnsi="Arial" w:cs="Arial"/>
                <w:b/>
                <w:sz w:val="28"/>
                <w:szCs w:val="28"/>
              </w:rPr>
              <w:br/>
              <w:t>Residential Provider Attestation</w:t>
            </w:r>
          </w:p>
          <w:p w14:paraId="62AB6E4D" w14:textId="77777777" w:rsidR="00573349" w:rsidRPr="00573349" w:rsidRDefault="00573349" w:rsidP="00573349">
            <w:pPr>
              <w:spacing w:before="480" w:after="120"/>
              <w:ind w:right="-80"/>
              <w:rPr>
                <w:rFonts w:ascii="Arial" w:hAnsi="Arial" w:cs="Arial"/>
              </w:rPr>
            </w:pPr>
            <w:r w:rsidRPr="00573349">
              <w:rPr>
                <w:rFonts w:ascii="Arial" w:hAnsi="Arial" w:cs="Arial"/>
              </w:rPr>
              <w:t xml:space="preserve">Per </w:t>
            </w:r>
            <w:hyperlink r:id="rId8" w:history="1">
              <w:r w:rsidRPr="00573349">
                <w:rPr>
                  <w:rStyle w:val="Hyperlink"/>
                  <w:rFonts w:ascii="Arial" w:hAnsi="Arial" w:cs="Arial"/>
                </w:rPr>
                <w:t>42 CFR 441.301</w:t>
              </w:r>
            </w:hyperlink>
            <w:r w:rsidRPr="00573349">
              <w:rPr>
                <w:rFonts w:ascii="Arial" w:hAnsi="Arial" w:cs="Arial"/>
              </w:rPr>
              <w:t xml:space="preserve">, home and community-based settings must have certain qualities based on the needs of the HCBS participant as indicated in their person-centered service plan. </w:t>
            </w:r>
          </w:p>
          <w:p w14:paraId="65B35983" w14:textId="77777777" w:rsidR="00573349" w:rsidRPr="00573349" w:rsidRDefault="00573349" w:rsidP="00573349">
            <w:pPr>
              <w:spacing w:before="120" w:after="120"/>
              <w:rPr>
                <w:rFonts w:ascii="Arial" w:hAnsi="Arial" w:cs="Arial"/>
              </w:rPr>
            </w:pPr>
            <w:r w:rsidRPr="00573349">
              <w:rPr>
                <w:rFonts w:ascii="Arial" w:hAnsi="Arial" w:cs="Arial"/>
              </w:rPr>
              <w:t>This Subleased Housing Memorandum of Understanding must be signed by the provider, which notifies them about their responsibilities while subleasing a home and providing residential supports to the individual subleasing the home.</w:t>
            </w:r>
          </w:p>
          <w:p w14:paraId="2C7DD2C1" w14:textId="08196564" w:rsidR="00573349" w:rsidRPr="00573349" w:rsidRDefault="00573349" w:rsidP="00573349">
            <w:pPr>
              <w:tabs>
                <w:tab w:val="right" w:pos="10388"/>
              </w:tabs>
              <w:spacing w:before="120" w:after="120"/>
              <w:rPr>
                <w:rFonts w:ascii="Arial" w:hAnsi="Arial" w:cs="Arial"/>
              </w:rPr>
            </w:pPr>
            <w:r w:rsidRPr="00573349">
              <w:rPr>
                <w:rFonts w:ascii="Arial" w:hAnsi="Arial" w:cs="Arial"/>
              </w:rPr>
              <w:t xml:space="preserve">Home Address:  </w:t>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rFonts w:ascii="Arial" w:hAnsi="Arial" w:cs="Arial"/>
              </w:rPr>
              <w:softHyphen/>
            </w:r>
            <w:r w:rsidRPr="00573349">
              <w:rPr>
                <w:b/>
                <w:u w:val="single"/>
              </w:rPr>
              <w:fldChar w:fldCharType="begin">
                <w:ffData>
                  <w:name w:val="Text27"/>
                  <w:enabled/>
                  <w:calcOnExit w:val="0"/>
                  <w:textInput/>
                </w:ffData>
              </w:fldChar>
            </w:r>
            <w:bookmarkStart w:id="0" w:name="Text27"/>
            <w:r w:rsidRPr="00573349">
              <w:rPr>
                <w:b/>
                <w:u w:val="single"/>
              </w:rPr>
              <w:instrText xml:space="preserve"> FORMTEXT </w:instrText>
            </w:r>
            <w:r w:rsidRPr="00573349">
              <w:rPr>
                <w:b/>
                <w:u w:val="single"/>
              </w:rPr>
            </w:r>
            <w:r w:rsidRPr="00573349">
              <w:rPr>
                <w:b/>
                <w:u w:val="single"/>
              </w:rPr>
              <w:fldChar w:fldCharType="separate"/>
            </w:r>
            <w:r w:rsidR="000530E4">
              <w:rPr>
                <w:b/>
                <w:noProof/>
                <w:u w:val="single"/>
              </w:rPr>
              <w:t> </w:t>
            </w:r>
            <w:r w:rsidR="000530E4">
              <w:rPr>
                <w:b/>
                <w:noProof/>
                <w:u w:val="single"/>
              </w:rPr>
              <w:t> </w:t>
            </w:r>
            <w:r w:rsidR="000530E4">
              <w:rPr>
                <w:b/>
                <w:noProof/>
                <w:u w:val="single"/>
              </w:rPr>
              <w:t> </w:t>
            </w:r>
            <w:r w:rsidR="000530E4">
              <w:rPr>
                <w:b/>
                <w:noProof/>
                <w:u w:val="single"/>
              </w:rPr>
              <w:t> </w:t>
            </w:r>
            <w:r w:rsidR="000530E4">
              <w:rPr>
                <w:b/>
                <w:noProof/>
                <w:u w:val="single"/>
              </w:rPr>
              <w:t> </w:t>
            </w:r>
            <w:r w:rsidRPr="00573349">
              <w:rPr>
                <w:b/>
                <w:u w:val="single"/>
              </w:rPr>
              <w:fldChar w:fldCharType="end"/>
            </w:r>
            <w:bookmarkEnd w:id="0"/>
            <w:r w:rsidRPr="00573349">
              <w:rPr>
                <w:u w:val="single"/>
              </w:rPr>
              <w:tab/>
            </w:r>
          </w:p>
          <w:p w14:paraId="720AF99F" w14:textId="72288D63" w:rsidR="00573349" w:rsidRPr="00573349" w:rsidRDefault="00573349" w:rsidP="00573349">
            <w:pPr>
              <w:tabs>
                <w:tab w:val="right" w:pos="10388"/>
              </w:tabs>
              <w:spacing w:before="120" w:after="120"/>
              <w:rPr>
                <w:b/>
              </w:rPr>
            </w:pPr>
            <w:r w:rsidRPr="00573349">
              <w:rPr>
                <w:rFonts w:ascii="Arial" w:hAnsi="Arial" w:cs="Arial"/>
              </w:rPr>
              <w:t>This home is owned by:</w:t>
            </w:r>
            <w:r w:rsidRPr="00573349">
              <w:rPr>
                <w:b/>
              </w:rPr>
              <w:t xml:space="preserve">  </w:t>
            </w:r>
            <w:r w:rsidRPr="00573349">
              <w:rPr>
                <w:b/>
                <w:u w:val="single"/>
              </w:rPr>
              <w:fldChar w:fldCharType="begin">
                <w:ffData>
                  <w:name w:val="Text27"/>
                  <w:enabled/>
                  <w:calcOnExit w:val="0"/>
                  <w:textInput/>
                </w:ffData>
              </w:fldChar>
            </w:r>
            <w:r w:rsidRPr="00573349">
              <w:rPr>
                <w:b/>
                <w:u w:val="single"/>
              </w:rPr>
              <w:instrText xml:space="preserve"> FORMTEXT </w:instrText>
            </w:r>
            <w:r w:rsidRPr="00573349">
              <w:rPr>
                <w:b/>
                <w:u w:val="single"/>
              </w:rPr>
            </w:r>
            <w:r w:rsidRPr="00573349">
              <w:rPr>
                <w:b/>
                <w:u w:val="single"/>
              </w:rPr>
              <w:fldChar w:fldCharType="separate"/>
            </w:r>
            <w:r w:rsidR="000530E4">
              <w:rPr>
                <w:b/>
                <w:noProof/>
                <w:u w:val="single"/>
              </w:rPr>
              <w:t> </w:t>
            </w:r>
            <w:r w:rsidR="000530E4">
              <w:rPr>
                <w:b/>
                <w:noProof/>
                <w:u w:val="single"/>
              </w:rPr>
              <w:t> </w:t>
            </w:r>
            <w:r w:rsidR="000530E4">
              <w:rPr>
                <w:b/>
                <w:noProof/>
                <w:u w:val="single"/>
              </w:rPr>
              <w:t> </w:t>
            </w:r>
            <w:r w:rsidR="000530E4">
              <w:rPr>
                <w:b/>
                <w:noProof/>
                <w:u w:val="single"/>
              </w:rPr>
              <w:t> </w:t>
            </w:r>
            <w:r w:rsidR="000530E4">
              <w:rPr>
                <w:b/>
                <w:noProof/>
                <w:u w:val="single"/>
              </w:rPr>
              <w:t> </w:t>
            </w:r>
            <w:r w:rsidRPr="00573349">
              <w:rPr>
                <w:b/>
                <w:u w:val="single"/>
              </w:rPr>
              <w:fldChar w:fldCharType="end"/>
            </w:r>
            <w:r w:rsidRPr="00573349">
              <w:rPr>
                <w:u w:val="single"/>
              </w:rPr>
              <w:tab/>
            </w:r>
          </w:p>
          <w:p w14:paraId="2A173BDA" w14:textId="579F3BED" w:rsidR="00573349" w:rsidRPr="00573349" w:rsidRDefault="00573349" w:rsidP="00573349">
            <w:pPr>
              <w:tabs>
                <w:tab w:val="right" w:pos="10388"/>
              </w:tabs>
              <w:spacing w:before="120" w:after="120"/>
              <w:rPr>
                <w:rFonts w:ascii="Arial" w:hAnsi="Arial" w:cs="Arial"/>
              </w:rPr>
            </w:pPr>
            <w:r w:rsidRPr="00573349">
              <w:rPr>
                <w:rFonts w:ascii="Arial" w:hAnsi="Arial" w:cs="Arial"/>
              </w:rPr>
              <w:t>Residential supports are provided by:</w:t>
            </w:r>
            <w:r w:rsidRPr="00573349">
              <w:rPr>
                <w:b/>
              </w:rPr>
              <w:t xml:space="preserve">  </w:t>
            </w:r>
            <w:r w:rsidRPr="00573349">
              <w:rPr>
                <w:b/>
                <w:u w:val="single"/>
              </w:rPr>
              <w:fldChar w:fldCharType="begin">
                <w:ffData>
                  <w:name w:val="Text27"/>
                  <w:enabled/>
                  <w:calcOnExit w:val="0"/>
                  <w:textInput/>
                </w:ffData>
              </w:fldChar>
            </w:r>
            <w:r w:rsidRPr="00573349">
              <w:rPr>
                <w:b/>
                <w:u w:val="single"/>
              </w:rPr>
              <w:instrText xml:space="preserve"> FORMTEXT </w:instrText>
            </w:r>
            <w:r w:rsidRPr="00573349">
              <w:rPr>
                <w:b/>
                <w:u w:val="single"/>
              </w:rPr>
            </w:r>
            <w:r w:rsidRPr="00573349">
              <w:rPr>
                <w:b/>
                <w:u w:val="single"/>
              </w:rPr>
              <w:fldChar w:fldCharType="separate"/>
            </w:r>
            <w:r w:rsidR="000530E4">
              <w:rPr>
                <w:b/>
                <w:noProof/>
                <w:u w:val="single"/>
              </w:rPr>
              <w:t> </w:t>
            </w:r>
            <w:r w:rsidR="000530E4">
              <w:rPr>
                <w:b/>
                <w:noProof/>
                <w:u w:val="single"/>
              </w:rPr>
              <w:t> </w:t>
            </w:r>
            <w:r w:rsidR="000530E4">
              <w:rPr>
                <w:b/>
                <w:noProof/>
                <w:u w:val="single"/>
              </w:rPr>
              <w:t> </w:t>
            </w:r>
            <w:r w:rsidR="000530E4">
              <w:rPr>
                <w:b/>
                <w:noProof/>
                <w:u w:val="single"/>
              </w:rPr>
              <w:t> </w:t>
            </w:r>
            <w:r w:rsidR="000530E4">
              <w:rPr>
                <w:b/>
                <w:noProof/>
                <w:u w:val="single"/>
              </w:rPr>
              <w:t> </w:t>
            </w:r>
            <w:r w:rsidRPr="00573349">
              <w:rPr>
                <w:b/>
                <w:u w:val="single"/>
              </w:rPr>
              <w:fldChar w:fldCharType="end"/>
            </w:r>
            <w:r w:rsidRPr="00573349">
              <w:rPr>
                <w:u w:val="single"/>
              </w:rPr>
              <w:tab/>
            </w:r>
          </w:p>
          <w:p w14:paraId="585FF408" w14:textId="77777777" w:rsidR="00573349" w:rsidRPr="00573349" w:rsidRDefault="00573349" w:rsidP="00573349">
            <w:pPr>
              <w:spacing w:before="120" w:after="120"/>
              <w:rPr>
                <w:rFonts w:ascii="Arial" w:hAnsi="Arial" w:cs="Arial"/>
              </w:rPr>
            </w:pPr>
            <w:r w:rsidRPr="00573349">
              <w:rPr>
                <w:rFonts w:ascii="Arial" w:hAnsi="Arial" w:cs="Arial"/>
              </w:rPr>
              <w:t>I, as the provider, have reviewed and agree with the statements below:</w:t>
            </w:r>
          </w:p>
          <w:p w14:paraId="7421CEF0" w14:textId="77777777" w:rsidR="00573349" w:rsidRPr="00573349" w:rsidRDefault="00573349" w:rsidP="00573349">
            <w:pPr>
              <w:pStyle w:val="ListParagraph"/>
              <w:numPr>
                <w:ilvl w:val="0"/>
                <w:numId w:val="1"/>
              </w:numPr>
              <w:tabs>
                <w:tab w:val="left" w:pos="244"/>
              </w:tabs>
              <w:spacing w:before="60" w:after="60" w:line="240" w:lineRule="auto"/>
              <w:ind w:left="244" w:hanging="244"/>
              <w:rPr>
                <w:rFonts w:ascii="Arial" w:hAnsi="Arial" w:cs="Arial"/>
                <w:sz w:val="24"/>
                <w:szCs w:val="24"/>
              </w:rPr>
            </w:pPr>
            <w:r w:rsidRPr="00573349">
              <w:rPr>
                <w:rFonts w:ascii="Arial" w:hAnsi="Arial" w:cs="Arial"/>
                <w:sz w:val="24"/>
                <w:szCs w:val="24"/>
              </w:rPr>
              <w:t>DDA requires that this home meets the conditions for home and community-based settings listed in 42 CFR 441.301(c)(4), including the requirements for provider-owned or controlled residential settings.</w:t>
            </w:r>
          </w:p>
          <w:p w14:paraId="500CCCF1" w14:textId="77777777" w:rsidR="00573349" w:rsidRPr="00573349" w:rsidRDefault="00573349" w:rsidP="00573349">
            <w:pPr>
              <w:pStyle w:val="ListParagraph"/>
              <w:numPr>
                <w:ilvl w:val="0"/>
                <w:numId w:val="1"/>
              </w:numPr>
              <w:tabs>
                <w:tab w:val="left" w:pos="244"/>
              </w:tabs>
              <w:spacing w:before="60" w:after="60" w:line="240" w:lineRule="auto"/>
              <w:ind w:left="245" w:hanging="245"/>
              <w:contextualSpacing w:val="0"/>
              <w:rPr>
                <w:rFonts w:ascii="Arial" w:hAnsi="Arial" w:cs="Arial"/>
                <w:sz w:val="24"/>
                <w:szCs w:val="24"/>
              </w:rPr>
            </w:pPr>
            <w:r w:rsidRPr="00573349">
              <w:rPr>
                <w:rFonts w:ascii="Arial" w:hAnsi="Arial" w:cs="Arial"/>
                <w:sz w:val="24"/>
                <w:szCs w:val="24"/>
              </w:rPr>
              <w:t xml:space="preserve">Clients have the right to live in a home of their choice in Washington State and choose to move at any time. </w:t>
            </w:r>
          </w:p>
          <w:p w14:paraId="161F07DB" w14:textId="77777777" w:rsidR="00573349" w:rsidRPr="00573349" w:rsidRDefault="00573349" w:rsidP="00573349">
            <w:pPr>
              <w:pStyle w:val="ListParagraph"/>
              <w:numPr>
                <w:ilvl w:val="0"/>
                <w:numId w:val="1"/>
              </w:numPr>
              <w:tabs>
                <w:tab w:val="left" w:pos="244"/>
              </w:tabs>
              <w:spacing w:before="60" w:after="60" w:line="240" w:lineRule="auto"/>
              <w:ind w:left="245" w:hanging="245"/>
              <w:contextualSpacing w:val="0"/>
              <w:rPr>
                <w:rFonts w:ascii="Arial" w:hAnsi="Arial" w:cs="Arial"/>
                <w:sz w:val="24"/>
                <w:szCs w:val="24"/>
              </w:rPr>
            </w:pPr>
            <w:r w:rsidRPr="00573349">
              <w:rPr>
                <w:rFonts w:ascii="Arial" w:hAnsi="Arial" w:cs="Arial"/>
                <w:sz w:val="24"/>
                <w:szCs w:val="24"/>
              </w:rPr>
              <w:t xml:space="preserve">If a client chooses to move from the subleased home, the provider must inform the client, or their legal representative if they have one, of the expenses the client may be responsible to </w:t>
            </w:r>
            <w:proofErr w:type="gramStart"/>
            <w:r w:rsidRPr="00573349">
              <w:rPr>
                <w:rFonts w:ascii="Arial" w:hAnsi="Arial" w:cs="Arial"/>
                <w:sz w:val="24"/>
                <w:szCs w:val="24"/>
              </w:rPr>
              <w:t>pay</w:t>
            </w:r>
            <w:proofErr w:type="gramEnd"/>
            <w:r w:rsidRPr="00573349">
              <w:rPr>
                <w:rFonts w:ascii="Arial" w:hAnsi="Arial" w:cs="Arial"/>
                <w:sz w:val="24"/>
                <w:szCs w:val="24"/>
              </w:rPr>
              <w:t xml:space="preserve"> and the operational concerns associated with moving to another home. </w:t>
            </w:r>
          </w:p>
          <w:p w14:paraId="3F7D08EB" w14:textId="77777777" w:rsidR="00573349" w:rsidRPr="00573349" w:rsidRDefault="00573349" w:rsidP="00573349">
            <w:pPr>
              <w:pStyle w:val="ListParagraph"/>
              <w:numPr>
                <w:ilvl w:val="0"/>
                <w:numId w:val="1"/>
              </w:numPr>
              <w:tabs>
                <w:tab w:val="left" w:pos="244"/>
              </w:tabs>
              <w:spacing w:before="60" w:after="60" w:line="240" w:lineRule="auto"/>
              <w:ind w:left="245" w:hanging="245"/>
              <w:contextualSpacing w:val="0"/>
              <w:rPr>
                <w:rFonts w:ascii="Arial" w:hAnsi="Arial" w:cs="Arial"/>
                <w:sz w:val="24"/>
                <w:szCs w:val="24"/>
              </w:rPr>
            </w:pPr>
            <w:r w:rsidRPr="00573349">
              <w:rPr>
                <w:rFonts w:ascii="Arial" w:hAnsi="Arial" w:cs="Arial"/>
                <w:sz w:val="24"/>
                <w:szCs w:val="24"/>
              </w:rPr>
              <w:t xml:space="preserve">The client, or their legal representative if they have one, has signed and received a copy of their sublease or other legally enforceable agreement with the provider which guarantees, at a minimum, the same responsibilities and protections from eviction that tenants have under the </w:t>
            </w:r>
            <w:hyperlink r:id="rId9" w:history="1">
              <w:r w:rsidRPr="00573349">
                <w:rPr>
                  <w:rStyle w:val="Hyperlink"/>
                  <w:rFonts w:ascii="Arial" w:hAnsi="Arial" w:cs="Arial"/>
                  <w:sz w:val="24"/>
                  <w:szCs w:val="24"/>
                </w:rPr>
                <w:t>Washington State Residential Landlord-Tenant Act</w:t>
              </w:r>
            </w:hyperlink>
            <w:r w:rsidRPr="00573349">
              <w:rPr>
                <w:rFonts w:ascii="Arial" w:hAnsi="Arial" w:cs="Arial"/>
                <w:sz w:val="24"/>
                <w:szCs w:val="24"/>
              </w:rPr>
              <w:t xml:space="preserve"> and other applicable county or city tenant protections.</w:t>
            </w:r>
          </w:p>
          <w:p w14:paraId="3ACBE73A" w14:textId="77777777" w:rsidR="00573349" w:rsidRPr="00573349" w:rsidRDefault="00573349" w:rsidP="00573349">
            <w:pPr>
              <w:pStyle w:val="ListParagraph"/>
              <w:numPr>
                <w:ilvl w:val="0"/>
                <w:numId w:val="1"/>
              </w:numPr>
              <w:tabs>
                <w:tab w:val="left" w:pos="244"/>
              </w:tabs>
              <w:spacing w:before="60" w:after="60" w:line="240" w:lineRule="auto"/>
              <w:ind w:left="245" w:hanging="245"/>
              <w:contextualSpacing w:val="0"/>
              <w:rPr>
                <w:rFonts w:ascii="Arial" w:hAnsi="Arial" w:cs="Arial"/>
                <w:sz w:val="24"/>
                <w:szCs w:val="24"/>
              </w:rPr>
            </w:pPr>
            <w:r w:rsidRPr="00573349">
              <w:rPr>
                <w:rFonts w:ascii="Arial" w:hAnsi="Arial" w:cs="Arial"/>
                <w:sz w:val="24"/>
                <w:szCs w:val="24"/>
              </w:rPr>
              <w:t>Any eviction considered must follow landlord-tenant laws.</w:t>
            </w:r>
          </w:p>
          <w:p w14:paraId="3B727D54" w14:textId="77777777" w:rsidR="00573349" w:rsidRPr="00573349" w:rsidRDefault="00573349" w:rsidP="00573349">
            <w:pPr>
              <w:pStyle w:val="ListParagraph"/>
              <w:numPr>
                <w:ilvl w:val="0"/>
                <w:numId w:val="1"/>
              </w:numPr>
              <w:tabs>
                <w:tab w:val="left" w:pos="244"/>
              </w:tabs>
              <w:spacing w:before="60" w:after="60" w:line="240" w:lineRule="auto"/>
              <w:ind w:left="245" w:hanging="245"/>
              <w:contextualSpacing w:val="0"/>
              <w:rPr>
                <w:rFonts w:ascii="Arial" w:hAnsi="Arial" w:cs="Arial"/>
                <w:sz w:val="24"/>
                <w:szCs w:val="24"/>
              </w:rPr>
            </w:pPr>
            <w:r w:rsidRPr="00573349">
              <w:rPr>
                <w:rFonts w:ascii="Arial" w:hAnsi="Arial" w:cs="Arial"/>
                <w:sz w:val="24"/>
                <w:szCs w:val="24"/>
              </w:rPr>
              <w:t xml:space="preserve">Any termination of supported living services must follow </w:t>
            </w:r>
            <w:hyperlink r:id="rId10" w:history="1">
              <w:r w:rsidRPr="00573349">
                <w:rPr>
                  <w:rStyle w:val="Hyperlink"/>
                  <w:rFonts w:ascii="Arial" w:hAnsi="Arial" w:cs="Arial"/>
                  <w:sz w:val="24"/>
                  <w:szCs w:val="24"/>
                </w:rPr>
                <w:t>DDA Policy 4.24</w:t>
              </w:r>
            </w:hyperlink>
            <w:r w:rsidRPr="00573349">
              <w:rPr>
                <w:rFonts w:ascii="Arial" w:hAnsi="Arial" w:cs="Arial"/>
                <w:sz w:val="24"/>
                <w:szCs w:val="24"/>
              </w:rPr>
              <w:t xml:space="preserve"> and </w:t>
            </w:r>
            <w:hyperlink r:id="rId11" w:history="1">
              <w:r w:rsidRPr="00573349">
                <w:rPr>
                  <w:rStyle w:val="Hyperlink"/>
                  <w:rFonts w:ascii="Arial" w:hAnsi="Arial" w:cs="Arial"/>
                  <w:sz w:val="24"/>
                  <w:szCs w:val="24"/>
                </w:rPr>
                <w:t>WAC 388-101D-0196 through 388-101D-0200</w:t>
              </w:r>
            </w:hyperlink>
            <w:r w:rsidRPr="00573349">
              <w:rPr>
                <w:rFonts w:ascii="Arial" w:hAnsi="Arial" w:cs="Arial"/>
                <w:sz w:val="24"/>
                <w:szCs w:val="24"/>
              </w:rPr>
              <w:t>.</w:t>
            </w:r>
          </w:p>
          <w:p w14:paraId="662A2E3C" w14:textId="284E9582" w:rsidR="006C49EF" w:rsidRPr="00573349" w:rsidRDefault="00573349" w:rsidP="00573349">
            <w:pPr>
              <w:pStyle w:val="ListParagraph"/>
              <w:numPr>
                <w:ilvl w:val="0"/>
                <w:numId w:val="1"/>
              </w:numPr>
              <w:tabs>
                <w:tab w:val="left" w:pos="244"/>
              </w:tabs>
              <w:spacing w:before="60" w:after="60" w:line="240" w:lineRule="auto"/>
              <w:ind w:left="245" w:hanging="245"/>
              <w:contextualSpacing w:val="0"/>
              <w:rPr>
                <w:rFonts w:ascii="Arial" w:hAnsi="Arial" w:cs="Arial"/>
                <w:sz w:val="20"/>
                <w:szCs w:val="20"/>
              </w:rPr>
            </w:pPr>
            <w:r w:rsidRPr="00573349">
              <w:rPr>
                <w:rFonts w:ascii="Arial" w:hAnsi="Arial" w:cs="Arial"/>
                <w:sz w:val="24"/>
                <w:szCs w:val="24"/>
              </w:rPr>
              <w:t>The provider received written approval from the landlord or owner of the property to sublease the property before subleasing to the client.</w:t>
            </w:r>
          </w:p>
        </w:tc>
      </w:tr>
      <w:tr w:rsidR="00DE01C1" w:rsidRPr="004C6B2A" w14:paraId="335BDCCF" w14:textId="77777777" w:rsidTr="00C90A4C">
        <w:trPr>
          <w:trHeight w:hRule="exact" w:val="623"/>
        </w:trPr>
        <w:tc>
          <w:tcPr>
            <w:tcW w:w="10620" w:type="dxa"/>
            <w:tcBorders>
              <w:top w:val="single" w:sz="12" w:space="0" w:color="auto"/>
              <w:left w:val="single" w:sz="12" w:space="0" w:color="auto"/>
              <w:bottom w:val="single" w:sz="2" w:space="0" w:color="auto"/>
              <w:right w:val="single" w:sz="12" w:space="0" w:color="auto"/>
            </w:tcBorders>
            <w:vAlign w:val="bottom"/>
          </w:tcPr>
          <w:p w14:paraId="2E3B4892" w14:textId="0A91F470" w:rsidR="00DE01C1" w:rsidRPr="00573349" w:rsidRDefault="5FBD152A" w:rsidP="002A5F6C">
            <w:pPr>
              <w:tabs>
                <w:tab w:val="right" w:pos="10388"/>
              </w:tabs>
              <w:spacing w:after="120"/>
              <w:rPr>
                <w:rFonts w:ascii="Arial" w:hAnsi="Arial" w:cs="Arial"/>
              </w:rPr>
            </w:pPr>
            <w:r w:rsidRPr="00573349">
              <w:rPr>
                <w:rFonts w:ascii="Arial" w:hAnsi="Arial" w:cs="Arial"/>
                <w:b/>
                <w:bCs/>
              </w:rPr>
              <w:t xml:space="preserve">I, </w:t>
            </w:r>
            <w:r w:rsidR="00DE01C1" w:rsidRPr="00573349">
              <w:rPr>
                <w:b/>
                <w:bCs/>
                <w:u w:val="single"/>
              </w:rPr>
              <w:fldChar w:fldCharType="begin">
                <w:ffData>
                  <w:name w:val="Text27"/>
                  <w:enabled/>
                  <w:calcOnExit w:val="0"/>
                  <w:textInput/>
                </w:ffData>
              </w:fldChar>
            </w:r>
            <w:r w:rsidR="00DE01C1" w:rsidRPr="00573349">
              <w:rPr>
                <w:b/>
                <w:bCs/>
                <w:u w:val="single"/>
              </w:rPr>
              <w:instrText xml:space="preserve"> FORMTEXT </w:instrText>
            </w:r>
            <w:r w:rsidR="00DE01C1" w:rsidRPr="00573349">
              <w:rPr>
                <w:b/>
                <w:bCs/>
                <w:u w:val="single"/>
              </w:rPr>
            </w:r>
            <w:r w:rsidR="00DE01C1" w:rsidRPr="00573349">
              <w:rPr>
                <w:b/>
                <w:bCs/>
                <w:u w:val="single"/>
              </w:rPr>
              <w:fldChar w:fldCharType="separate"/>
            </w:r>
            <w:r w:rsidR="000530E4">
              <w:rPr>
                <w:b/>
                <w:bCs/>
                <w:noProof/>
                <w:u w:val="single"/>
              </w:rPr>
              <w:t> </w:t>
            </w:r>
            <w:r w:rsidR="000530E4">
              <w:rPr>
                <w:b/>
                <w:bCs/>
                <w:noProof/>
                <w:u w:val="single"/>
              </w:rPr>
              <w:t> </w:t>
            </w:r>
            <w:r w:rsidR="000530E4">
              <w:rPr>
                <w:b/>
                <w:bCs/>
                <w:noProof/>
                <w:u w:val="single"/>
              </w:rPr>
              <w:t> </w:t>
            </w:r>
            <w:r w:rsidR="000530E4">
              <w:rPr>
                <w:b/>
                <w:bCs/>
                <w:noProof/>
                <w:u w:val="single"/>
              </w:rPr>
              <w:t> </w:t>
            </w:r>
            <w:r w:rsidR="000530E4">
              <w:rPr>
                <w:b/>
                <w:bCs/>
                <w:noProof/>
                <w:u w:val="single"/>
              </w:rPr>
              <w:t> </w:t>
            </w:r>
            <w:r w:rsidR="00DE01C1" w:rsidRPr="00573349">
              <w:rPr>
                <w:b/>
                <w:bCs/>
                <w:u w:val="single"/>
              </w:rPr>
              <w:fldChar w:fldCharType="end"/>
            </w:r>
            <w:r w:rsidR="00DE01C1" w:rsidRPr="00573349">
              <w:rPr>
                <w:rFonts w:ascii="Arial" w:hAnsi="Arial" w:cs="Arial"/>
                <w:u w:val="single"/>
              </w:rPr>
              <w:tab/>
            </w:r>
            <w:r w:rsidRPr="00573349">
              <w:rPr>
                <w:rFonts w:ascii="Arial" w:hAnsi="Arial" w:cs="Arial"/>
                <w:b/>
                <w:bCs/>
              </w:rPr>
              <w:t>, agency administrat</w:t>
            </w:r>
            <w:r w:rsidR="00972602" w:rsidRPr="00573349">
              <w:rPr>
                <w:rFonts w:ascii="Arial" w:hAnsi="Arial" w:cs="Arial"/>
                <w:b/>
                <w:bCs/>
              </w:rPr>
              <w:t>or</w:t>
            </w:r>
            <w:r w:rsidRPr="00573349">
              <w:rPr>
                <w:rFonts w:ascii="Arial" w:hAnsi="Arial" w:cs="Arial"/>
                <w:b/>
                <w:bCs/>
              </w:rPr>
              <w:t>, agree to the above statements.</w:t>
            </w:r>
          </w:p>
        </w:tc>
      </w:tr>
      <w:tr w:rsidR="00DE01C1" w:rsidRPr="00D861F6" w14:paraId="20861193" w14:textId="77777777" w:rsidTr="00C90A4C">
        <w:trPr>
          <w:trHeight w:hRule="exact" w:val="648"/>
        </w:trPr>
        <w:tc>
          <w:tcPr>
            <w:tcW w:w="10620" w:type="dxa"/>
            <w:tcBorders>
              <w:top w:val="single" w:sz="2" w:space="0" w:color="auto"/>
              <w:left w:val="single" w:sz="12" w:space="0" w:color="auto"/>
              <w:bottom w:val="single" w:sz="12" w:space="0" w:color="auto"/>
              <w:right w:val="single" w:sz="12" w:space="0" w:color="auto"/>
            </w:tcBorders>
          </w:tcPr>
          <w:p w14:paraId="6632CDE2" w14:textId="49AB2F24" w:rsidR="00DE01C1" w:rsidRPr="00573349" w:rsidRDefault="002A5F6C" w:rsidP="004127CD">
            <w:pPr>
              <w:tabs>
                <w:tab w:val="left" w:pos="7200"/>
              </w:tabs>
              <w:spacing w:before="20"/>
              <w:rPr>
                <w:rFonts w:ascii="Arial" w:hAnsi="Arial" w:cs="Arial"/>
              </w:rPr>
            </w:pPr>
            <w:r w:rsidRPr="00573349">
              <w:rPr>
                <w:rFonts w:ascii="Arial" w:hAnsi="Arial" w:cs="Arial"/>
              </w:rPr>
              <w:t>Agency Administrator’s Signature</w:t>
            </w:r>
            <w:r w:rsidRPr="00573349">
              <w:rPr>
                <w:rFonts w:ascii="Arial" w:hAnsi="Arial" w:cs="Arial"/>
              </w:rPr>
              <w:tab/>
              <w:t>Date</w:t>
            </w:r>
          </w:p>
          <w:p w14:paraId="46114B64" w14:textId="70EA8609" w:rsidR="00DE01C1" w:rsidRPr="00573349" w:rsidRDefault="00DE01C1" w:rsidP="004127CD">
            <w:pPr>
              <w:tabs>
                <w:tab w:val="left" w:pos="7200"/>
              </w:tabs>
              <w:rPr>
                <w:b/>
              </w:rPr>
            </w:pPr>
            <w:r w:rsidRPr="00573349">
              <w:rPr>
                <w:b/>
              </w:rPr>
              <w:tab/>
            </w:r>
            <w:r w:rsidRPr="00573349">
              <w:rPr>
                <w:b/>
              </w:rPr>
              <w:fldChar w:fldCharType="begin">
                <w:ffData>
                  <w:name w:val=""/>
                  <w:enabled/>
                  <w:calcOnExit w:val="0"/>
                  <w:textInput>
                    <w:type w:val="date"/>
                    <w:format w:val="MM/DD/YYYY"/>
                  </w:textInput>
                </w:ffData>
              </w:fldChar>
            </w:r>
            <w:r w:rsidRPr="00573349">
              <w:rPr>
                <w:b/>
              </w:rPr>
              <w:instrText xml:space="preserve"> FORMTEXT </w:instrText>
            </w:r>
            <w:r w:rsidRPr="00573349">
              <w:rPr>
                <w:b/>
              </w:rPr>
            </w:r>
            <w:r w:rsidRPr="00573349">
              <w:rPr>
                <w:b/>
              </w:rPr>
              <w:fldChar w:fldCharType="separate"/>
            </w:r>
            <w:r w:rsidR="000530E4">
              <w:rPr>
                <w:b/>
                <w:noProof/>
              </w:rPr>
              <w:t> </w:t>
            </w:r>
            <w:r w:rsidR="000530E4">
              <w:rPr>
                <w:b/>
                <w:noProof/>
              </w:rPr>
              <w:t> </w:t>
            </w:r>
            <w:r w:rsidR="000530E4">
              <w:rPr>
                <w:b/>
                <w:noProof/>
              </w:rPr>
              <w:t> </w:t>
            </w:r>
            <w:r w:rsidR="000530E4">
              <w:rPr>
                <w:b/>
                <w:noProof/>
              </w:rPr>
              <w:t> </w:t>
            </w:r>
            <w:r w:rsidR="000530E4">
              <w:rPr>
                <w:b/>
                <w:noProof/>
              </w:rPr>
              <w:t> </w:t>
            </w:r>
            <w:r w:rsidRPr="00573349">
              <w:rPr>
                <w:b/>
              </w:rPr>
              <w:fldChar w:fldCharType="end"/>
            </w:r>
          </w:p>
        </w:tc>
      </w:tr>
      <w:tr w:rsidR="002A5F6C" w:rsidRPr="00D11493" w14:paraId="2C16964E" w14:textId="77777777" w:rsidTr="00C90A4C">
        <w:trPr>
          <w:trHeight w:hRule="exact" w:val="648"/>
        </w:trPr>
        <w:tc>
          <w:tcPr>
            <w:tcW w:w="10620" w:type="dxa"/>
            <w:tcBorders>
              <w:top w:val="single" w:sz="12" w:space="0" w:color="auto"/>
              <w:left w:val="single" w:sz="2" w:space="0" w:color="auto"/>
              <w:bottom w:val="single" w:sz="2" w:space="0" w:color="auto"/>
              <w:right w:val="single" w:sz="2" w:space="0" w:color="auto"/>
            </w:tcBorders>
          </w:tcPr>
          <w:p w14:paraId="1268880E" w14:textId="22B36593" w:rsidR="002A5F6C" w:rsidRPr="00573349" w:rsidRDefault="002A5F6C" w:rsidP="002A5F6C">
            <w:pPr>
              <w:tabs>
                <w:tab w:val="left" w:pos="7200"/>
              </w:tabs>
              <w:spacing w:before="20"/>
              <w:rPr>
                <w:rFonts w:ascii="Arial" w:hAnsi="Arial" w:cs="Arial"/>
              </w:rPr>
            </w:pPr>
            <w:r w:rsidRPr="00573349">
              <w:rPr>
                <w:rFonts w:ascii="Arial" w:hAnsi="Arial" w:cs="Arial"/>
              </w:rPr>
              <w:t>Resource Manager Administrator or Designee’s Signature</w:t>
            </w:r>
            <w:r w:rsidRPr="00573349">
              <w:rPr>
                <w:rFonts w:ascii="Arial" w:hAnsi="Arial" w:cs="Arial"/>
              </w:rPr>
              <w:tab/>
              <w:t>Date</w:t>
            </w:r>
          </w:p>
          <w:p w14:paraId="25078218" w14:textId="57772075" w:rsidR="002A5F6C" w:rsidRPr="00573349" w:rsidRDefault="002A5F6C" w:rsidP="002A5F6C">
            <w:pPr>
              <w:tabs>
                <w:tab w:val="left" w:pos="7200"/>
              </w:tabs>
              <w:rPr>
                <w:rFonts w:ascii="Arial" w:hAnsi="Arial" w:cs="Arial"/>
              </w:rPr>
            </w:pPr>
            <w:r w:rsidRPr="00573349">
              <w:rPr>
                <w:b/>
              </w:rPr>
              <w:tab/>
            </w:r>
            <w:r w:rsidRPr="00573349">
              <w:rPr>
                <w:b/>
              </w:rPr>
              <w:fldChar w:fldCharType="begin">
                <w:ffData>
                  <w:name w:val=""/>
                  <w:enabled/>
                  <w:calcOnExit w:val="0"/>
                  <w:textInput>
                    <w:type w:val="date"/>
                    <w:format w:val="MM/DD/YYYY"/>
                  </w:textInput>
                </w:ffData>
              </w:fldChar>
            </w:r>
            <w:r w:rsidRPr="00573349">
              <w:rPr>
                <w:b/>
              </w:rPr>
              <w:instrText xml:space="preserve"> FORMTEXT </w:instrText>
            </w:r>
            <w:r w:rsidRPr="00573349">
              <w:rPr>
                <w:b/>
              </w:rPr>
            </w:r>
            <w:r w:rsidRPr="00573349">
              <w:rPr>
                <w:b/>
              </w:rPr>
              <w:fldChar w:fldCharType="separate"/>
            </w:r>
            <w:r w:rsidR="000530E4">
              <w:rPr>
                <w:b/>
                <w:noProof/>
              </w:rPr>
              <w:t> </w:t>
            </w:r>
            <w:r w:rsidR="000530E4">
              <w:rPr>
                <w:b/>
                <w:noProof/>
              </w:rPr>
              <w:t> </w:t>
            </w:r>
            <w:r w:rsidR="000530E4">
              <w:rPr>
                <w:b/>
                <w:noProof/>
              </w:rPr>
              <w:t> </w:t>
            </w:r>
            <w:r w:rsidR="000530E4">
              <w:rPr>
                <w:b/>
                <w:noProof/>
              </w:rPr>
              <w:t> </w:t>
            </w:r>
            <w:r w:rsidR="000530E4">
              <w:rPr>
                <w:b/>
                <w:noProof/>
              </w:rPr>
              <w:t> </w:t>
            </w:r>
            <w:r w:rsidRPr="00573349">
              <w:rPr>
                <w:b/>
              </w:rPr>
              <w:fldChar w:fldCharType="end"/>
            </w:r>
          </w:p>
        </w:tc>
      </w:tr>
      <w:tr w:rsidR="002A5F6C" w:rsidRPr="00D11493" w14:paraId="718AECD7" w14:textId="77777777" w:rsidTr="00C90A4C">
        <w:trPr>
          <w:trHeight w:hRule="exact" w:val="648"/>
        </w:trPr>
        <w:tc>
          <w:tcPr>
            <w:tcW w:w="10620" w:type="dxa"/>
            <w:tcBorders>
              <w:top w:val="single" w:sz="2" w:space="0" w:color="auto"/>
              <w:left w:val="single" w:sz="2" w:space="0" w:color="auto"/>
              <w:bottom w:val="single" w:sz="2" w:space="0" w:color="auto"/>
              <w:right w:val="single" w:sz="2" w:space="0" w:color="auto"/>
            </w:tcBorders>
          </w:tcPr>
          <w:p w14:paraId="72905E5E" w14:textId="24EAAB88" w:rsidR="002A5F6C" w:rsidRPr="00573349" w:rsidRDefault="002A5F6C" w:rsidP="002A5F6C">
            <w:pPr>
              <w:tabs>
                <w:tab w:val="left" w:pos="7200"/>
              </w:tabs>
              <w:spacing w:before="20"/>
              <w:rPr>
                <w:rFonts w:ascii="Arial" w:hAnsi="Arial" w:cs="Arial"/>
              </w:rPr>
            </w:pPr>
            <w:r w:rsidRPr="00573349">
              <w:rPr>
                <w:rFonts w:ascii="Arial" w:hAnsi="Arial" w:cs="Arial"/>
              </w:rPr>
              <w:t>DDA Program Manager’s Signature</w:t>
            </w:r>
            <w:r w:rsidRPr="00573349">
              <w:rPr>
                <w:rFonts w:ascii="Arial" w:hAnsi="Arial" w:cs="Arial"/>
              </w:rPr>
              <w:tab/>
              <w:t>Date</w:t>
            </w:r>
          </w:p>
          <w:p w14:paraId="6A44EED2" w14:textId="7B2789FA" w:rsidR="002A5F6C" w:rsidRPr="00573349" w:rsidRDefault="002A5F6C" w:rsidP="002A5F6C">
            <w:pPr>
              <w:tabs>
                <w:tab w:val="left" w:pos="7200"/>
              </w:tabs>
              <w:rPr>
                <w:rFonts w:ascii="Arial" w:hAnsi="Arial" w:cs="Arial"/>
              </w:rPr>
            </w:pPr>
            <w:r w:rsidRPr="00573349">
              <w:rPr>
                <w:b/>
              </w:rPr>
              <w:tab/>
            </w:r>
            <w:r w:rsidRPr="00573349">
              <w:rPr>
                <w:b/>
              </w:rPr>
              <w:fldChar w:fldCharType="begin">
                <w:ffData>
                  <w:name w:val=""/>
                  <w:enabled/>
                  <w:calcOnExit w:val="0"/>
                  <w:textInput>
                    <w:type w:val="date"/>
                    <w:format w:val="MM/DD/YYYY"/>
                  </w:textInput>
                </w:ffData>
              </w:fldChar>
            </w:r>
            <w:r w:rsidRPr="00573349">
              <w:rPr>
                <w:b/>
              </w:rPr>
              <w:instrText xml:space="preserve"> FORMTEXT </w:instrText>
            </w:r>
            <w:r w:rsidRPr="00573349">
              <w:rPr>
                <w:b/>
              </w:rPr>
            </w:r>
            <w:r w:rsidRPr="00573349">
              <w:rPr>
                <w:b/>
              </w:rPr>
              <w:fldChar w:fldCharType="separate"/>
            </w:r>
            <w:r w:rsidR="000530E4">
              <w:rPr>
                <w:b/>
                <w:noProof/>
              </w:rPr>
              <w:t> </w:t>
            </w:r>
            <w:r w:rsidR="000530E4">
              <w:rPr>
                <w:b/>
                <w:noProof/>
              </w:rPr>
              <w:t> </w:t>
            </w:r>
            <w:r w:rsidR="000530E4">
              <w:rPr>
                <w:b/>
                <w:noProof/>
              </w:rPr>
              <w:t> </w:t>
            </w:r>
            <w:r w:rsidR="000530E4">
              <w:rPr>
                <w:b/>
                <w:noProof/>
              </w:rPr>
              <w:t> </w:t>
            </w:r>
            <w:r w:rsidR="000530E4">
              <w:rPr>
                <w:b/>
                <w:noProof/>
              </w:rPr>
              <w:t> </w:t>
            </w:r>
            <w:r w:rsidRPr="00573349">
              <w:rPr>
                <w:b/>
              </w:rPr>
              <w:fldChar w:fldCharType="end"/>
            </w:r>
          </w:p>
        </w:tc>
      </w:tr>
    </w:tbl>
    <w:p w14:paraId="0E346062" w14:textId="77777777" w:rsidR="006652C9" w:rsidRPr="00B7001B" w:rsidRDefault="006652C9">
      <w:pPr>
        <w:rPr>
          <w:sz w:val="2"/>
          <w:szCs w:val="2"/>
        </w:rPr>
      </w:pPr>
    </w:p>
    <w:sectPr w:rsidR="006652C9" w:rsidRPr="00B7001B" w:rsidSect="002A5F6C">
      <w:footerReference w:type="default" r:id="rId12"/>
      <w:footerReference w:type="first" r:id="rId13"/>
      <w:type w:val="continuous"/>
      <w:pgSz w:w="12240" w:h="15840" w:code="1"/>
      <w:pgMar w:top="720" w:right="720" w:bottom="720" w:left="720" w:header="0"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7D3E7" w14:textId="77777777" w:rsidR="00644C0E" w:rsidRDefault="00644C0E">
      <w:r>
        <w:separator/>
      </w:r>
    </w:p>
  </w:endnote>
  <w:endnote w:type="continuationSeparator" w:id="0">
    <w:p w14:paraId="72FAE420" w14:textId="77777777" w:rsidR="00644C0E" w:rsidRDefault="0064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C1AD" w14:textId="41486D6F" w:rsidR="006C49EF" w:rsidRPr="0093626C" w:rsidRDefault="00862452" w:rsidP="007074F9">
    <w:pPr>
      <w:pStyle w:val="Footer"/>
      <w:rPr>
        <w:rFonts w:ascii="Arial" w:hAnsi="Arial" w:cs="Arial"/>
        <w:b/>
        <w:sz w:val="16"/>
        <w:szCs w:val="16"/>
      </w:rPr>
    </w:pPr>
    <w:r>
      <w:rPr>
        <w:rFonts w:ascii="Arial" w:hAnsi="Arial" w:cs="Arial"/>
        <w:b/>
        <w:sz w:val="16"/>
        <w:szCs w:val="16"/>
      </w:rPr>
      <w:t>SUBLEASED HOUSING</w:t>
    </w:r>
    <w:r w:rsidR="006C49EF">
      <w:rPr>
        <w:rFonts w:ascii="Arial" w:hAnsi="Arial" w:cs="Arial"/>
        <w:b/>
        <w:sz w:val="16"/>
        <w:szCs w:val="16"/>
      </w:rPr>
      <w:t xml:space="preserve"> </w:t>
    </w:r>
    <w:r>
      <w:rPr>
        <w:rFonts w:ascii="Arial" w:hAnsi="Arial" w:cs="Arial"/>
        <w:b/>
        <w:sz w:val="16"/>
        <w:szCs w:val="16"/>
      </w:rPr>
      <w:t>PROVIDER ATTESTATION</w:t>
    </w:r>
  </w:p>
  <w:p w14:paraId="43F5DED1" w14:textId="72E07906" w:rsidR="006C49EF" w:rsidRPr="007074F9" w:rsidRDefault="006C49EF" w:rsidP="007074F9">
    <w:pPr>
      <w:pStyle w:val="Footer"/>
      <w:rPr>
        <w:rFonts w:ascii="Arial" w:hAnsi="Arial" w:cs="Arial"/>
        <w:b/>
        <w:sz w:val="16"/>
        <w:szCs w:val="16"/>
      </w:rPr>
    </w:pPr>
    <w:r w:rsidRPr="0093626C">
      <w:rPr>
        <w:rFonts w:ascii="Arial" w:hAnsi="Arial" w:cs="Arial"/>
        <w:b/>
        <w:sz w:val="16"/>
        <w:szCs w:val="16"/>
      </w:rPr>
      <w:t xml:space="preserve">DSHS </w:t>
    </w:r>
    <w:r w:rsidR="00862452">
      <w:rPr>
        <w:rFonts w:ascii="Arial" w:hAnsi="Arial" w:cs="Arial"/>
        <w:b/>
        <w:sz w:val="16"/>
        <w:szCs w:val="16"/>
      </w:rPr>
      <w:t>XX-XXX</w:t>
    </w:r>
    <w:r>
      <w:rPr>
        <w:rFonts w:ascii="Arial" w:hAnsi="Arial" w:cs="Arial"/>
        <w:b/>
        <w:sz w:val="16"/>
        <w:szCs w:val="16"/>
      </w:rPr>
      <w:t xml:space="preserve"> (0</w:t>
    </w:r>
    <w:r w:rsidR="00523C78">
      <w:rPr>
        <w:rFonts w:ascii="Arial" w:hAnsi="Arial" w:cs="Arial"/>
        <w:b/>
        <w:sz w:val="16"/>
        <w:szCs w:val="16"/>
      </w:rPr>
      <w:t>4/2024</w:t>
    </w:r>
    <w:r>
      <w:rPr>
        <w:rFonts w:ascii="Arial" w:hAnsi="Arial" w:cs="Arial"/>
        <w:b/>
        <w:sz w:val="16"/>
        <w:szCs w:val="16"/>
      </w:rPr>
      <w:t>)</w:t>
    </w:r>
    <w:r w:rsidRPr="0093626C">
      <w:rPr>
        <w:rFonts w:ascii="Arial" w:hAnsi="Arial"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5F2C" w14:textId="5281A316" w:rsidR="006C49EF" w:rsidRPr="007074F9" w:rsidRDefault="002A5F6C" w:rsidP="007074F9">
    <w:pPr>
      <w:pStyle w:val="Footer"/>
    </w:pPr>
    <w:r>
      <w:rPr>
        <w:rFonts w:ascii="Arial" w:hAnsi="Arial" w:cs="Arial"/>
        <w:sz w:val="20"/>
        <w:szCs w:val="20"/>
      </w:rPr>
      <w:t>DSHS</w:t>
    </w:r>
    <w:r w:rsidR="00C90A4C">
      <w:rPr>
        <w:rFonts w:ascii="Arial" w:hAnsi="Arial" w:cs="Arial"/>
        <w:sz w:val="20"/>
        <w:szCs w:val="20"/>
      </w:rPr>
      <w:t xml:space="preserve"> 02-</w:t>
    </w:r>
    <w:r w:rsidR="00820BCA">
      <w:rPr>
        <w:rFonts w:ascii="Arial" w:hAnsi="Arial" w:cs="Arial"/>
        <w:sz w:val="20"/>
        <w:szCs w:val="20"/>
      </w:rPr>
      <w:t>759</w:t>
    </w:r>
    <w:r w:rsidR="00C90A4C">
      <w:rPr>
        <w:rFonts w:ascii="Arial" w:hAnsi="Arial" w:cs="Arial"/>
        <w:sz w:val="20"/>
        <w:szCs w:val="20"/>
      </w:rPr>
      <w:t xml:space="preserve"> (</w:t>
    </w:r>
    <w:r w:rsidR="00820BCA">
      <w:rPr>
        <w:rFonts w:ascii="Arial" w:hAnsi="Arial" w:cs="Arial"/>
        <w:sz w:val="20"/>
        <w:szCs w:val="20"/>
      </w:rPr>
      <w:t>01/2025</w:t>
    </w:r>
    <w:r w:rsidR="00C90A4C">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CFFF4" w14:textId="77777777" w:rsidR="00644C0E" w:rsidRDefault="00644C0E">
      <w:r>
        <w:separator/>
      </w:r>
    </w:p>
  </w:footnote>
  <w:footnote w:type="continuationSeparator" w:id="0">
    <w:p w14:paraId="45B822AF" w14:textId="77777777" w:rsidR="00644C0E" w:rsidRDefault="00644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88C6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9C5366"/>
    <w:multiLevelType w:val="singleLevel"/>
    <w:tmpl w:val="7E588FBE"/>
    <w:lvl w:ilvl="0">
      <w:start w:val="1"/>
      <w:numFmt w:val="decimal"/>
      <w:lvlText w:val="%1. "/>
      <w:legacy w:legacy="1" w:legacySpace="0" w:legacyIndent="360"/>
      <w:lvlJc w:val="left"/>
      <w:pPr>
        <w:ind w:left="360" w:hanging="360"/>
      </w:pPr>
      <w:rPr>
        <w:b w:val="0"/>
        <w:i w:val="0"/>
        <w:sz w:val="24"/>
      </w:rPr>
    </w:lvl>
  </w:abstractNum>
  <w:abstractNum w:abstractNumId="2" w15:restartNumberingAfterBreak="0">
    <w:nsid w:val="27DB2B2A"/>
    <w:multiLevelType w:val="hybridMultilevel"/>
    <w:tmpl w:val="04C09A00"/>
    <w:lvl w:ilvl="0" w:tplc="750CDD2E">
      <w:numFmt w:val="bullet"/>
      <w:lvlText w:val=""/>
      <w:lvlJc w:val="left"/>
      <w:pPr>
        <w:ind w:left="720" w:hanging="360"/>
      </w:pPr>
      <w:rPr>
        <w:rFonts w:ascii="Symbol" w:hAnsi="Symbol" w:cs="Symbol" w:hint="default"/>
        <w:b/>
        <w:i w:val="0"/>
        <w:color w:val="auto"/>
        <w:w w:val="10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278107">
    <w:abstractNumId w:val="2"/>
  </w:num>
  <w:num w:numId="2" w16cid:durableId="412437010">
    <w:abstractNumId w:val="0"/>
  </w:num>
  <w:num w:numId="3" w16cid:durableId="89485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NotTrackFormatting/>
  <w:documentProtection w:edit="forms" w:enforcement="1" w:cryptProviderType="rsaAES" w:cryptAlgorithmClass="hash" w:cryptAlgorithmType="typeAny" w:cryptAlgorithmSid="14" w:cryptSpinCount="100000" w:hash="zk64VfD5AXcfwQJYGPfel/3dOahx2aNQBshAh5EZnxRlMPGQBsD8S+opx0ekwu2xJ+Xn9DCm+XbVjxYKiGk/1Q==" w:salt="64a7wU+gmDCDtrRY41tZr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EF"/>
    <w:rsid w:val="000530E4"/>
    <w:rsid w:val="000B663E"/>
    <w:rsid w:val="00113D77"/>
    <w:rsid w:val="00140128"/>
    <w:rsid w:val="00162534"/>
    <w:rsid w:val="001B3470"/>
    <w:rsid w:val="001E0852"/>
    <w:rsid w:val="00200EB4"/>
    <w:rsid w:val="00221EDB"/>
    <w:rsid w:val="002664AA"/>
    <w:rsid w:val="00272B0F"/>
    <w:rsid w:val="00297715"/>
    <w:rsid w:val="002A0C2D"/>
    <w:rsid w:val="002A5F6C"/>
    <w:rsid w:val="002B3220"/>
    <w:rsid w:val="0031616A"/>
    <w:rsid w:val="00367740"/>
    <w:rsid w:val="003E3F00"/>
    <w:rsid w:val="00484F0C"/>
    <w:rsid w:val="00492824"/>
    <w:rsid w:val="004C1C77"/>
    <w:rsid w:val="00514709"/>
    <w:rsid w:val="00523C78"/>
    <w:rsid w:val="00573349"/>
    <w:rsid w:val="005A65DA"/>
    <w:rsid w:val="005C5346"/>
    <w:rsid w:val="006213A0"/>
    <w:rsid w:val="00621508"/>
    <w:rsid w:val="006263F6"/>
    <w:rsid w:val="00644C0E"/>
    <w:rsid w:val="006652C9"/>
    <w:rsid w:val="006A2DEA"/>
    <w:rsid w:val="006C49EF"/>
    <w:rsid w:val="0075479F"/>
    <w:rsid w:val="007808D1"/>
    <w:rsid w:val="00794F18"/>
    <w:rsid w:val="007C1189"/>
    <w:rsid w:val="007E5EF5"/>
    <w:rsid w:val="007F40C0"/>
    <w:rsid w:val="008001A3"/>
    <w:rsid w:val="00820BCA"/>
    <w:rsid w:val="00855FEA"/>
    <w:rsid w:val="00862452"/>
    <w:rsid w:val="00867121"/>
    <w:rsid w:val="008C4DF8"/>
    <w:rsid w:val="008D7C6F"/>
    <w:rsid w:val="008F3BA8"/>
    <w:rsid w:val="00900275"/>
    <w:rsid w:val="0092781E"/>
    <w:rsid w:val="00945F53"/>
    <w:rsid w:val="009477B0"/>
    <w:rsid w:val="00972602"/>
    <w:rsid w:val="009F6859"/>
    <w:rsid w:val="00A27171"/>
    <w:rsid w:val="00A5767E"/>
    <w:rsid w:val="00A75065"/>
    <w:rsid w:val="00A85E04"/>
    <w:rsid w:val="00A86716"/>
    <w:rsid w:val="00AD0D4E"/>
    <w:rsid w:val="00B256BC"/>
    <w:rsid w:val="00B51D0E"/>
    <w:rsid w:val="00B573BC"/>
    <w:rsid w:val="00B7001B"/>
    <w:rsid w:val="00B765B5"/>
    <w:rsid w:val="00B80314"/>
    <w:rsid w:val="00BC2752"/>
    <w:rsid w:val="00BD0C12"/>
    <w:rsid w:val="00BE1BB3"/>
    <w:rsid w:val="00C44F6D"/>
    <w:rsid w:val="00C605A1"/>
    <w:rsid w:val="00C6443A"/>
    <w:rsid w:val="00C8605F"/>
    <w:rsid w:val="00C90A4C"/>
    <w:rsid w:val="00D4762D"/>
    <w:rsid w:val="00D87BAF"/>
    <w:rsid w:val="00DC7FCA"/>
    <w:rsid w:val="00DE01C1"/>
    <w:rsid w:val="00DE251E"/>
    <w:rsid w:val="00DE2B2F"/>
    <w:rsid w:val="00E06A3A"/>
    <w:rsid w:val="00E2319D"/>
    <w:rsid w:val="00E27B86"/>
    <w:rsid w:val="00E506AF"/>
    <w:rsid w:val="00E50E55"/>
    <w:rsid w:val="00E731A2"/>
    <w:rsid w:val="00F42A32"/>
    <w:rsid w:val="00F6723A"/>
    <w:rsid w:val="00F8384A"/>
    <w:rsid w:val="00F93391"/>
    <w:rsid w:val="00FC011E"/>
    <w:rsid w:val="025ADEED"/>
    <w:rsid w:val="09D12CE3"/>
    <w:rsid w:val="0AD4BA0A"/>
    <w:rsid w:val="0D193907"/>
    <w:rsid w:val="2039D6E6"/>
    <w:rsid w:val="56DD0FEE"/>
    <w:rsid w:val="5CC7D1B8"/>
    <w:rsid w:val="5FBD152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43AD"/>
  <w15:chartTrackingRefBased/>
  <w15:docId w15:val="{9927D1F9-AA6B-4526-BB56-28E2BA84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E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49EF"/>
    <w:pPr>
      <w:tabs>
        <w:tab w:val="center" w:pos="4320"/>
        <w:tab w:val="right" w:pos="8640"/>
      </w:tabs>
    </w:pPr>
  </w:style>
  <w:style w:type="character" w:customStyle="1" w:styleId="FooterChar">
    <w:name w:val="Footer Char"/>
    <w:basedOn w:val="DefaultParagraphFont"/>
    <w:link w:val="Footer"/>
    <w:rsid w:val="006C49EF"/>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C49EF"/>
    <w:pPr>
      <w:spacing w:after="200" w:line="276" w:lineRule="auto"/>
      <w:ind w:left="720"/>
      <w:contextualSpacing/>
    </w:pPr>
    <w:rPr>
      <w:rFonts w:ascii="Calibri" w:eastAsia="Calibri" w:hAnsi="Calibri"/>
      <w:sz w:val="22"/>
      <w:szCs w:val="22"/>
    </w:rPr>
  </w:style>
  <w:style w:type="paragraph" w:styleId="ListBullet">
    <w:name w:val="List Bullet"/>
    <w:basedOn w:val="Normal"/>
    <w:uiPriority w:val="99"/>
    <w:unhideWhenUsed/>
    <w:rsid w:val="006C49EF"/>
    <w:pPr>
      <w:numPr>
        <w:numId w:val="2"/>
      </w:numPr>
      <w:contextualSpacing/>
    </w:pPr>
  </w:style>
  <w:style w:type="paragraph" w:customStyle="1" w:styleId="InsideAddress">
    <w:name w:val="Inside Address"/>
    <w:basedOn w:val="Normal"/>
    <w:rsid w:val="006C49EF"/>
    <w:rPr>
      <w:szCs w:val="20"/>
    </w:rPr>
  </w:style>
  <w:style w:type="paragraph" w:styleId="Revision">
    <w:name w:val="Revision"/>
    <w:hidden/>
    <w:uiPriority w:val="99"/>
    <w:semiHidden/>
    <w:rsid w:val="00F6723A"/>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86716"/>
    <w:rPr>
      <w:color w:val="0563C1" w:themeColor="hyperlink"/>
      <w:u w:val="single"/>
    </w:rPr>
  </w:style>
  <w:style w:type="character" w:styleId="UnresolvedMention">
    <w:name w:val="Unresolved Mention"/>
    <w:basedOn w:val="DefaultParagraphFont"/>
    <w:uiPriority w:val="99"/>
    <w:semiHidden/>
    <w:unhideWhenUsed/>
    <w:rsid w:val="00A86716"/>
    <w:rPr>
      <w:color w:val="605E5C"/>
      <w:shd w:val="clear" w:color="auto" w:fill="E1DFDD"/>
    </w:rPr>
  </w:style>
  <w:style w:type="character" w:styleId="CommentReference">
    <w:name w:val="annotation reference"/>
    <w:basedOn w:val="DefaultParagraphFont"/>
    <w:uiPriority w:val="99"/>
    <w:semiHidden/>
    <w:unhideWhenUsed/>
    <w:rsid w:val="006213A0"/>
    <w:rPr>
      <w:sz w:val="16"/>
      <w:szCs w:val="16"/>
    </w:rPr>
  </w:style>
  <w:style w:type="paragraph" w:styleId="CommentText">
    <w:name w:val="annotation text"/>
    <w:basedOn w:val="Normal"/>
    <w:link w:val="CommentTextChar"/>
    <w:uiPriority w:val="99"/>
    <w:unhideWhenUsed/>
    <w:rsid w:val="006213A0"/>
    <w:rPr>
      <w:sz w:val="20"/>
      <w:szCs w:val="20"/>
    </w:rPr>
  </w:style>
  <w:style w:type="character" w:customStyle="1" w:styleId="CommentTextChar">
    <w:name w:val="Comment Text Char"/>
    <w:basedOn w:val="DefaultParagraphFont"/>
    <w:link w:val="CommentText"/>
    <w:uiPriority w:val="99"/>
    <w:rsid w:val="006213A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13A0"/>
    <w:rPr>
      <w:b/>
      <w:bCs/>
    </w:rPr>
  </w:style>
  <w:style w:type="character" w:customStyle="1" w:styleId="CommentSubjectChar">
    <w:name w:val="Comment Subject Char"/>
    <w:basedOn w:val="CommentTextChar"/>
    <w:link w:val="CommentSubject"/>
    <w:uiPriority w:val="99"/>
    <w:semiHidden/>
    <w:rsid w:val="006213A0"/>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7808D1"/>
    <w:pPr>
      <w:tabs>
        <w:tab w:val="center" w:pos="4680"/>
        <w:tab w:val="right" w:pos="9360"/>
      </w:tabs>
    </w:pPr>
  </w:style>
  <w:style w:type="character" w:customStyle="1" w:styleId="HeaderChar">
    <w:name w:val="Header Char"/>
    <w:basedOn w:val="DefaultParagraphFont"/>
    <w:link w:val="Header"/>
    <w:uiPriority w:val="99"/>
    <w:rsid w:val="007808D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4/01/16/2014-00487/medicaid-program-state-plan-home-and-community-based-services-5-year-period-for-waivers-provid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leg.wa.gov/WAC/default.aspx?cite=388-101D&amp;full=tru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shs.wa.gov/sites/default/files/DDA/dda/documents/policy/policy4.24.pdf" TargetMode="External"/><Relationship Id="rId4" Type="http://schemas.openxmlformats.org/officeDocument/2006/relationships/webSettings" Target="webSettings.xml"/><Relationship Id="rId9" Type="http://schemas.openxmlformats.org/officeDocument/2006/relationships/hyperlink" Target="https://apps.leg.wa.gov/rcw/default.aspx?cite=59.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2393</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Subleased Housing Memorandum of Understanding Residential Provider Attestation</vt:lpstr>
    </vt:vector>
  </TitlesOfParts>
  <Company>ALTSA DDA TIA</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Subleased Housing Memorandum of Understanding Residential Provider Attestation</dc:title>
  <dc:subject/>
  <dc:creator>Kwak, Megan K (DSHS/DDA)</dc:creator>
  <cp:keywords/>
  <dc:description/>
  <cp:lastModifiedBy>Brombacher, Millie (DSHS/OOS/OIG)</cp:lastModifiedBy>
  <cp:revision>2</cp:revision>
  <dcterms:created xsi:type="dcterms:W3CDTF">2025-01-21T21:16:00Z</dcterms:created>
  <dcterms:modified xsi:type="dcterms:W3CDTF">2025-01-21T21:16:00Z</dcterms:modified>
</cp:coreProperties>
</file>